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07B5" w14:textId="4527DB6D" w:rsidR="00A51EBE" w:rsidRDefault="00567A20">
      <w:r>
        <w:t>PRZEPISY</w:t>
      </w:r>
    </w:p>
    <w:p w14:paraId="2E03B972" w14:textId="77777777" w:rsidR="00567A20" w:rsidRPr="00567A20" w:rsidRDefault="00567A20" w:rsidP="00567A20">
      <w:pPr>
        <w:widowControl w:val="0"/>
        <w:autoSpaceDE w:val="0"/>
        <w:autoSpaceDN w:val="0"/>
        <w:spacing w:before="6" w:after="0" w:line="297" w:lineRule="auto"/>
        <w:ind w:right="1584"/>
        <w:jc w:val="center"/>
        <w:rPr>
          <w:rFonts w:asciiTheme="majorHAnsi" w:eastAsia="Tahoma" w:hAnsiTheme="majorHAnsi" w:cstheme="majorHAnsi"/>
          <w:b/>
          <w:bCs/>
          <w:kern w:val="0"/>
          <w14:ligatures w14:val="none"/>
        </w:rPr>
      </w:pPr>
      <w:r w:rsidRPr="00567A20">
        <w:rPr>
          <w:rFonts w:asciiTheme="majorHAnsi" w:eastAsia="Tahoma" w:hAnsiTheme="majorHAnsi" w:cstheme="majorHAnsi"/>
          <w:b/>
          <w:bCs/>
          <w:kern w:val="0"/>
          <w14:ligatures w14:val="none"/>
        </w:rPr>
        <w:t>PRAWA DZIECI -WSTĘP</w:t>
      </w:r>
    </w:p>
    <w:p w14:paraId="5FEE22D4" w14:textId="77777777" w:rsidR="00567A20" w:rsidRPr="00567A20" w:rsidRDefault="00567A20" w:rsidP="00567A20">
      <w:pPr>
        <w:widowControl w:val="0"/>
        <w:autoSpaceDE w:val="0"/>
        <w:autoSpaceDN w:val="0"/>
        <w:spacing w:before="6" w:after="0" w:line="297" w:lineRule="auto"/>
        <w:ind w:right="1584"/>
        <w:jc w:val="both"/>
        <w:rPr>
          <w:rFonts w:asciiTheme="majorHAnsi" w:eastAsia="Tahoma" w:hAnsiTheme="majorHAnsi" w:cstheme="majorHAnsi"/>
          <w:kern w:val="0"/>
          <w14:ligatures w14:val="none"/>
        </w:rPr>
      </w:pPr>
      <w:r w:rsidRPr="00567A20">
        <w:rPr>
          <w:rFonts w:asciiTheme="majorHAnsi" w:eastAsia="Tahoma" w:hAnsiTheme="majorHAnsi" w:cstheme="majorHAnsi"/>
          <w:kern w:val="0"/>
          <w14:ligatures w14:val="none"/>
        </w:rPr>
        <w:t>W Polsce najważniejszymi aktami prawnymi, które gwarantują prawa dziecka, są: Konstytucja RP, Konwencja Praw Dziecka, ustawa o Rzeczniku Praw Dziecka, Kodeks Rodzinny i Opiekuńczy.</w:t>
      </w:r>
    </w:p>
    <w:p w14:paraId="4DBB05BE" w14:textId="77777777" w:rsidR="00567A20" w:rsidRPr="00567A20" w:rsidRDefault="00567A20" w:rsidP="00567A20">
      <w:pPr>
        <w:widowControl w:val="0"/>
        <w:autoSpaceDE w:val="0"/>
        <w:autoSpaceDN w:val="0"/>
        <w:spacing w:before="6" w:after="0" w:line="297" w:lineRule="auto"/>
        <w:ind w:right="1584"/>
        <w:jc w:val="both"/>
        <w:rPr>
          <w:rFonts w:asciiTheme="majorHAnsi" w:eastAsia="Tahoma" w:hAnsiTheme="majorHAnsi" w:cstheme="majorHAnsi"/>
          <w:spacing w:val="-8"/>
          <w:kern w:val="0"/>
          <w14:ligatures w14:val="none"/>
        </w:rPr>
      </w:pPr>
      <w:r w:rsidRPr="00567A20">
        <w:rPr>
          <w:rFonts w:asciiTheme="majorHAnsi" w:eastAsia="Tahoma" w:hAnsiTheme="majorHAnsi" w:cstheme="majorHAnsi"/>
          <w:kern w:val="0"/>
          <w14:ligatures w14:val="none"/>
        </w:rPr>
        <w:t xml:space="preserve">Szczególnymi przepisami są te które nakładają określone obowiązki na pracodawców i organizatorów różnych obszarów aktywności w relacjach z dziećmi poprzez wprowadzenie Standardów Ochrony Dzieci. </w:t>
      </w:r>
    </w:p>
    <w:p w14:paraId="1AD824FD" w14:textId="77777777" w:rsidR="00567A20" w:rsidRPr="00567A20" w:rsidRDefault="00567A20" w:rsidP="00567A20">
      <w:pPr>
        <w:widowControl w:val="0"/>
        <w:autoSpaceDE w:val="0"/>
        <w:autoSpaceDN w:val="0"/>
        <w:spacing w:before="6" w:after="0" w:line="297" w:lineRule="auto"/>
        <w:ind w:right="1584"/>
        <w:jc w:val="both"/>
        <w:rPr>
          <w:rFonts w:asciiTheme="majorHAnsi" w:eastAsia="Tahoma" w:hAnsiTheme="majorHAnsi" w:cstheme="majorHAnsi"/>
          <w:kern w:val="0"/>
          <w14:ligatures w14:val="none"/>
        </w:rPr>
      </w:pPr>
      <w:r w:rsidRPr="00567A20">
        <w:rPr>
          <w:rFonts w:asciiTheme="majorHAnsi" w:eastAsia="Tahoma" w:hAnsiTheme="majorHAnsi" w:cstheme="majorHAnsi"/>
          <w:color w:val="231F20"/>
          <w:spacing w:val="-8"/>
          <w:kern w:val="0"/>
          <w14:ligatures w14:val="none"/>
        </w:rPr>
        <w:t>Standardy ochrony dzieci</w:t>
      </w:r>
      <w:r w:rsidRPr="00567A20">
        <w:rPr>
          <w:rFonts w:asciiTheme="majorHAnsi" w:eastAsia="Tahoma" w:hAnsiTheme="majorHAnsi" w:cstheme="majorHAnsi"/>
          <w:color w:val="231F20"/>
          <w:spacing w:val="-4"/>
          <w:kern w:val="0"/>
          <w14:ligatures w14:val="none"/>
        </w:rPr>
        <w:t xml:space="preserve"> </w:t>
      </w:r>
      <w:r w:rsidRPr="00567A20">
        <w:rPr>
          <w:rFonts w:asciiTheme="majorHAnsi" w:eastAsia="Tahoma" w:hAnsiTheme="majorHAnsi" w:cstheme="majorHAnsi"/>
          <w:color w:val="231F20"/>
          <w:spacing w:val="-8"/>
          <w:kern w:val="0"/>
          <w14:ligatures w14:val="none"/>
        </w:rPr>
        <w:t>to</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cztery zasady,</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których</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przyjęcie</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sprawia,</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że</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dana</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organizacja</w:t>
      </w:r>
      <w:r w:rsidRPr="00567A20">
        <w:rPr>
          <w:rFonts w:asciiTheme="majorHAnsi" w:eastAsia="Tahoma" w:hAnsiTheme="majorHAnsi" w:cstheme="majorHAnsi"/>
          <w:color w:val="231F20"/>
          <w:kern w:val="0"/>
          <w14:ligatures w14:val="none"/>
        </w:rPr>
        <w:t xml:space="preserve"> </w:t>
      </w:r>
      <w:r w:rsidRPr="00567A20">
        <w:rPr>
          <w:rFonts w:asciiTheme="majorHAnsi" w:eastAsia="Tahoma" w:hAnsiTheme="majorHAnsi" w:cstheme="majorHAnsi"/>
          <w:color w:val="231F20"/>
          <w:spacing w:val="-8"/>
          <w:kern w:val="0"/>
          <w14:ligatures w14:val="none"/>
        </w:rPr>
        <w:t>jest  b</w:t>
      </w:r>
      <w:r w:rsidRPr="00567A20">
        <w:rPr>
          <w:rFonts w:asciiTheme="majorHAnsi" w:eastAsia="Tahoma" w:hAnsiTheme="majorHAnsi" w:cstheme="majorHAnsi"/>
          <w:color w:val="231F20"/>
          <w:spacing w:val="-2"/>
          <w:kern w:val="0"/>
          <w14:ligatures w14:val="none"/>
        </w:rPr>
        <w:t>ezpieczna</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dla</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dzieci</w:t>
      </w:r>
      <w:r w:rsidRPr="00567A20">
        <w:rPr>
          <w:rFonts w:asciiTheme="majorHAnsi" w:eastAsia="Tahoma" w:hAnsiTheme="majorHAnsi" w:cstheme="majorHAnsi"/>
          <w:color w:val="231F20"/>
          <w:spacing w:val="-13"/>
          <w:kern w:val="0"/>
          <w14:ligatures w14:val="none"/>
        </w:rPr>
        <w:t xml:space="preserve"> </w:t>
      </w:r>
      <w:r w:rsidRPr="00567A20">
        <w:rPr>
          <w:rFonts w:asciiTheme="majorHAnsi" w:eastAsia="Tahoma" w:hAnsiTheme="majorHAnsi" w:cstheme="majorHAnsi"/>
          <w:color w:val="231F20"/>
          <w:spacing w:val="-2"/>
          <w:kern w:val="0"/>
          <w14:ligatures w14:val="none"/>
        </w:rPr>
        <w:t>–</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jej</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personel</w:t>
      </w:r>
      <w:r w:rsidRPr="00567A20">
        <w:rPr>
          <w:rFonts w:asciiTheme="majorHAnsi" w:eastAsia="Tahoma" w:hAnsiTheme="majorHAnsi" w:cstheme="majorHAnsi"/>
          <w:color w:val="231F20"/>
          <w:spacing w:val="-13"/>
          <w:kern w:val="0"/>
          <w14:ligatures w14:val="none"/>
        </w:rPr>
        <w:t xml:space="preserve"> </w:t>
      </w:r>
      <w:r w:rsidRPr="00567A20">
        <w:rPr>
          <w:rFonts w:asciiTheme="majorHAnsi" w:eastAsia="Tahoma" w:hAnsiTheme="majorHAnsi" w:cstheme="majorHAnsi"/>
          <w:color w:val="231F20"/>
          <w:spacing w:val="-2"/>
          <w:kern w:val="0"/>
          <w14:ligatures w14:val="none"/>
        </w:rPr>
        <w:t>potrafi</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zidentyfikować</w:t>
      </w:r>
      <w:r w:rsidRPr="00567A20">
        <w:rPr>
          <w:rFonts w:asciiTheme="majorHAnsi" w:eastAsia="Tahoma" w:hAnsiTheme="majorHAnsi" w:cstheme="majorHAnsi"/>
          <w:color w:val="231F20"/>
          <w:spacing w:val="-13"/>
          <w:kern w:val="0"/>
          <w14:ligatures w14:val="none"/>
        </w:rPr>
        <w:t xml:space="preserve"> </w:t>
      </w:r>
      <w:r w:rsidRPr="00567A20">
        <w:rPr>
          <w:rFonts w:asciiTheme="majorHAnsi" w:eastAsia="Tahoma" w:hAnsiTheme="majorHAnsi" w:cstheme="majorHAnsi"/>
          <w:color w:val="231F20"/>
          <w:spacing w:val="-2"/>
          <w:kern w:val="0"/>
          <w14:ligatures w14:val="none"/>
        </w:rPr>
        <w:t>sytuacje</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stwarzające</w:t>
      </w:r>
      <w:r w:rsidRPr="00567A20">
        <w:rPr>
          <w:rFonts w:asciiTheme="majorHAnsi" w:eastAsia="Tahoma" w:hAnsiTheme="majorHAnsi" w:cstheme="majorHAnsi"/>
          <w:color w:val="231F20"/>
          <w:spacing w:val="-14"/>
          <w:kern w:val="0"/>
          <w14:ligatures w14:val="none"/>
        </w:rPr>
        <w:t xml:space="preserve"> </w:t>
      </w:r>
      <w:r w:rsidRPr="00567A20">
        <w:rPr>
          <w:rFonts w:asciiTheme="majorHAnsi" w:eastAsia="Tahoma" w:hAnsiTheme="majorHAnsi" w:cstheme="majorHAnsi"/>
          <w:color w:val="231F20"/>
          <w:spacing w:val="-2"/>
          <w:kern w:val="0"/>
          <w14:ligatures w14:val="none"/>
        </w:rPr>
        <w:t>ryzyko</w:t>
      </w:r>
      <w:r w:rsidRPr="00567A20">
        <w:rPr>
          <w:rFonts w:asciiTheme="majorHAnsi" w:eastAsia="Tahoma" w:hAnsiTheme="majorHAnsi" w:cstheme="majorHAnsi"/>
          <w:color w:val="231F20"/>
          <w:spacing w:val="-13"/>
          <w:kern w:val="0"/>
          <w14:ligatures w14:val="none"/>
        </w:rPr>
        <w:t xml:space="preserve"> </w:t>
      </w:r>
      <w:r w:rsidRPr="00567A20">
        <w:rPr>
          <w:rFonts w:asciiTheme="majorHAnsi" w:eastAsia="Tahoma" w:hAnsiTheme="majorHAnsi" w:cstheme="majorHAnsi"/>
          <w:color w:val="231F20"/>
          <w:spacing w:val="-2"/>
          <w:kern w:val="0"/>
          <w14:ligatures w14:val="none"/>
        </w:rPr>
        <w:t>krzywdzenia</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dziecka</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oraz</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podjąć</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działania</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profilaktyczne</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oraz</w:t>
      </w:r>
      <w:r w:rsidRPr="00567A20">
        <w:rPr>
          <w:rFonts w:asciiTheme="majorHAnsi" w:eastAsia="Tahoma" w:hAnsiTheme="majorHAnsi" w:cstheme="majorHAnsi"/>
          <w:color w:val="231F20"/>
          <w:spacing w:val="-11"/>
          <w:kern w:val="0"/>
          <w14:ligatures w14:val="none"/>
        </w:rPr>
        <w:t xml:space="preserve"> </w:t>
      </w:r>
      <w:r w:rsidRPr="00567A20">
        <w:rPr>
          <w:rFonts w:asciiTheme="majorHAnsi" w:eastAsia="Tahoma" w:hAnsiTheme="majorHAnsi" w:cstheme="majorHAnsi"/>
          <w:color w:val="231F20"/>
          <w:spacing w:val="-2"/>
          <w:kern w:val="0"/>
          <w14:ligatures w14:val="none"/>
        </w:rPr>
        <w:t>interwencyjne.</w:t>
      </w:r>
    </w:p>
    <w:p w14:paraId="710FC504" w14:textId="77777777" w:rsidR="00567A20" w:rsidRPr="00567A20" w:rsidRDefault="00567A20" w:rsidP="00567A20">
      <w:pPr>
        <w:jc w:val="center"/>
        <w:rPr>
          <w:rFonts w:asciiTheme="majorHAnsi" w:hAnsiTheme="majorHAnsi" w:cstheme="majorHAnsi"/>
          <w:b/>
          <w:bCs/>
          <w:sz w:val="28"/>
          <w:szCs w:val="28"/>
        </w:rPr>
      </w:pPr>
    </w:p>
    <w:p w14:paraId="050612C2" w14:textId="77777777" w:rsidR="00567A20" w:rsidRPr="00567A20" w:rsidRDefault="00567A20" w:rsidP="00567A20">
      <w:pPr>
        <w:jc w:val="center"/>
        <w:rPr>
          <w:rFonts w:asciiTheme="majorHAnsi" w:hAnsiTheme="majorHAnsi" w:cstheme="majorHAnsi"/>
          <w:b/>
          <w:bCs/>
          <w:sz w:val="28"/>
          <w:szCs w:val="28"/>
        </w:rPr>
      </w:pPr>
      <w:r w:rsidRPr="00567A20">
        <w:rPr>
          <w:rFonts w:asciiTheme="majorHAnsi" w:hAnsiTheme="majorHAnsi" w:cstheme="majorHAnsi"/>
          <w:b/>
          <w:bCs/>
          <w:sz w:val="28"/>
          <w:szCs w:val="28"/>
        </w:rPr>
        <w:t>PODSTAWA PRAWNA</w:t>
      </w:r>
    </w:p>
    <w:p w14:paraId="550A49F5" w14:textId="77777777" w:rsidR="00567A20" w:rsidRPr="00567A20" w:rsidRDefault="00567A20" w:rsidP="00567A20">
      <w:pPr>
        <w:rPr>
          <w:rFonts w:asciiTheme="majorHAnsi" w:hAnsiTheme="majorHAnsi" w:cstheme="majorHAnsi"/>
          <w:b/>
          <w:bCs/>
        </w:rPr>
      </w:pPr>
      <w:r w:rsidRPr="00567A20">
        <w:rPr>
          <w:rFonts w:asciiTheme="majorHAnsi" w:hAnsiTheme="majorHAnsi" w:cstheme="majorHAnsi"/>
          <w:b/>
          <w:bCs/>
        </w:rPr>
        <w:t xml:space="preserve">Ustawa z dnia 28 lipca 2023 roku o zmianie ustawy Kodeks Rodzinny i Opiekuńczy i innych ustaw DZ.U 2023 pozycja 1606 </w:t>
      </w:r>
    </w:p>
    <w:p w14:paraId="06C41FAA" w14:textId="77777777" w:rsidR="00567A20" w:rsidRPr="00567A20" w:rsidRDefault="00567A20" w:rsidP="00567A20">
      <w:pPr>
        <w:rPr>
          <w:rFonts w:asciiTheme="majorHAnsi" w:hAnsiTheme="majorHAnsi" w:cstheme="majorHAnsi"/>
          <w:b/>
          <w:bCs/>
        </w:rPr>
      </w:pPr>
      <w:r w:rsidRPr="00567A20">
        <w:rPr>
          <w:rFonts w:asciiTheme="majorHAnsi" w:hAnsiTheme="majorHAnsi" w:cstheme="majorHAnsi"/>
          <w:b/>
          <w:bCs/>
        </w:rPr>
        <w:t>Określająca obowiązki pracodawcy oraz odpowiedzialność.</w:t>
      </w:r>
    </w:p>
    <w:p w14:paraId="2CFF603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Pkt 6) Art. 7 rozdział Ustawy</w:t>
      </w:r>
    </w:p>
    <w:p w14:paraId="5C1A5B2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7. W ustawie z dnia 13 maja 2016 r. o przeciwdziałaniu zagrożeniom przestępczością na tle seksualnym (Dz. U.</w:t>
      </w:r>
    </w:p>
    <w:p w14:paraId="7A27736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z 2023 r. poz. 1304) wprowadza się następujące zmiany:</w:t>
      </w:r>
    </w:p>
    <w:p w14:paraId="5682416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w tytule ustawy ogólne określenie przedmiotu ustawy otrzymuje brzmienie:</w:t>
      </w:r>
    </w:p>
    <w:p w14:paraId="5E130ADE"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„o przeciwdziałaniu zagrożeniom przestępczością na tle seksualnym i ochronie małoletnich”;</w:t>
      </w:r>
    </w:p>
    <w:p w14:paraId="1B94BE5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art. 1 otrzymuje brzmienie:</w:t>
      </w:r>
    </w:p>
    <w:p w14:paraId="3455F0D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1. Ustawa określa szczególne środki ochrony przeciwdziałające zagrożeniom przestępczością na tle seksualnym i szczególne środki ochrony małoletnich.”;</w:t>
      </w:r>
    </w:p>
    <w:p w14:paraId="6004F930"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art. 3 otrzymuje brzmienie:</w:t>
      </w:r>
    </w:p>
    <w:p w14:paraId="39D89029"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3. 1. Szczególnymi środkami ochrony przeciwdziałającymi zagrożeniom przestępczością na tle seksualnym, o których mowa w art. 1, są:</w:t>
      </w:r>
    </w:p>
    <w:p w14:paraId="441F5A0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Rejestr Sprawców Przestępstw na Tle Seksualnym;</w:t>
      </w:r>
    </w:p>
    <w:p w14:paraId="01CE6072"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obowiązki pracodawców i innych organizatorów w zakresie działalności związanej z wychowaniem, edukacją, wypoczynkiem, leczeniem, świadczeniem porad psychologicznych, rozwojem duchowym, uprawianiem sportu lub realizacją innych zainteresowań przez małoletnich, lub z opieką nad nimi oraz pracowników i innych osób dopuszczanych do takiej działalności;</w:t>
      </w:r>
    </w:p>
    <w:p w14:paraId="65569FF9"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określenie miejsc szczególnego zagrożenia przestępczością na tle seksualnym.</w:t>
      </w:r>
    </w:p>
    <w:p w14:paraId="4743F3E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Szczególnymi środkami ochrony małoletnich, o których mowa w art. 1, są:</w:t>
      </w:r>
    </w:p>
    <w:p w14:paraId="14F059E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ocena prawdopodobieństwa ponownego popełnienia przestępstwa przeciwko wolności seksualnej i obyczajności na szkodę małoletniego;</w:t>
      </w:r>
    </w:p>
    <w:p w14:paraId="63B5D83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lastRenderedPageBreak/>
        <w:t>2) standardy ochrony małoletnich;</w:t>
      </w:r>
    </w:p>
    <w:p w14:paraId="5234CC5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analiza zdarzeń, w wyniku których małoletni na skutek działania rodzica albo opiekuna prawnego lub faktycznego poniósł śmierć lub doznał ciężkiego uszczerbku na zdrowiu;</w:t>
      </w:r>
    </w:p>
    <w:p w14:paraId="4E90D47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Krajowy Plan Przeciwdziałania Przemocy na Szkodę Małoletnich oraz Krajowy Plan Przeciwdziałania Przestępstwom Przeciwko Wolności Seksualnej i Obyczajności na Szkodę Małoletnich;</w:t>
      </w:r>
    </w:p>
    <w:p w14:paraId="2533BA6A"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kontrola wykonywania obowiązków, o których mowa w art. 21 oraz art. 22b.”;</w:t>
      </w:r>
    </w:p>
    <w:p w14:paraId="4C833E89"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Dziennik Ustaw – 6 – Poz. 1606</w:t>
      </w:r>
    </w:p>
    <w:p w14:paraId="6202F94A"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w art. 12 pkt 6 i 7 otrzymują brzmienie:</w:t>
      </w:r>
    </w:p>
    <w:p w14:paraId="27227ED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„6) pracodawcom – przed nawiązaniem z osobą stosunku pracy związanej z wychowaniem, edukacją, wypoczynkiem, leczeniem, świadczeniem porad psychologicznych, rozwojem duchowym, uprawianiem sportu lub realizacją innych zainteresowań przez małoletnich, lub z opieką nad nimi, w zakresie uzyskania informacji, czy dane tej osoby są zgromadzone w tym Rejestrze;</w:t>
      </w:r>
    </w:p>
    <w:p w14:paraId="7168308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7) innym organizatorom – przed dopuszczeniem osoby do działalności związanej z wychowaniem, edukacją, wypoczynkiem, leczeniem, świadczeniem porad psychologicznych, rozwojem duchowym, uprawianiem sportu lub realizacją innych zainteresowań przez małoletnich, lub z opieką nad nimi, w zakresie uzyskania informacji, czy dane tej osoby są zgromadzone w tym Rejestrze;”;</w:t>
      </w:r>
    </w:p>
    <w:p w14:paraId="451B9180"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rozdział 3 otrzymuje brzmienie:</w:t>
      </w:r>
    </w:p>
    <w:p w14:paraId="4DA9B42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„Rozdział 3</w:t>
      </w:r>
    </w:p>
    <w:p w14:paraId="02709E5A"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Obowiązki pracodawców i innych organizatorów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p>
    <w:p w14:paraId="35778AE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21. 1.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p w14:paraId="4619BB0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Pracodawca lub inny organizator uzyskuje informacje, czy dane osoby, o której mowa w ust. 1, są zamieszczone w Rejestrze z dostępem ograniczonym lub w Rejestrze osób, w stosunku do których Państwowa Komisja do spraw przeciwdziałania wykorzystaniu seksualnemu małoletnich poniżej lat 15 wydała postanowienie o wpisie w Rejestrze.</w:t>
      </w:r>
    </w:p>
    <w:p w14:paraId="6429FCD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39D5045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4. 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Pr="00567A20">
        <w:rPr>
          <w:rFonts w:asciiTheme="majorHAnsi" w:hAnsiTheme="majorHAnsi" w:cstheme="majorHAnsi"/>
        </w:rPr>
        <w:t>wolontariackiej</w:t>
      </w:r>
      <w:proofErr w:type="spellEnd"/>
      <w:r w:rsidRPr="00567A20">
        <w:rPr>
          <w:rFonts w:asciiTheme="majorHAnsi" w:hAnsiTheme="majorHAnsi" w:cstheme="majorHAnsi"/>
        </w:rPr>
        <w:t xml:space="preserve"> związanej z kontaktami z dziećmi.</w:t>
      </w:r>
    </w:p>
    <w:p w14:paraId="3C1467B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5. Osoba, o której mowa w ust. 1, składa pracodawcy lub innemu organizatorowi oświadczenie o państwie lub państwach, w których zamieszkiwała w ciągu ostatnich 20 lat, innych niż Rzeczpospolita </w:t>
      </w:r>
      <w:r w:rsidRPr="00567A20">
        <w:rPr>
          <w:rFonts w:asciiTheme="majorHAnsi" w:hAnsiTheme="majorHAnsi" w:cstheme="majorHAnsi"/>
        </w:rPr>
        <w:lastRenderedPageBreak/>
        <w:t xml:space="preserve">Polska i państwo obywatelstwa, oraz jednocześnie przedkłada pracodawcy lub innemu organizatorowi informację z rejestrów karnych tych państw uzyskiwaną do celów działalności zawodowej lub </w:t>
      </w:r>
      <w:proofErr w:type="spellStart"/>
      <w:r w:rsidRPr="00567A20">
        <w:rPr>
          <w:rFonts w:asciiTheme="majorHAnsi" w:hAnsiTheme="majorHAnsi" w:cstheme="majorHAnsi"/>
        </w:rPr>
        <w:t>wolontariackiej</w:t>
      </w:r>
      <w:proofErr w:type="spellEnd"/>
      <w:r w:rsidRPr="00567A20">
        <w:rPr>
          <w:rFonts w:asciiTheme="majorHAnsi" w:hAnsiTheme="majorHAnsi" w:cstheme="majorHAnsi"/>
        </w:rPr>
        <w:t xml:space="preserve"> związanej z kontaktami z dziećmi.</w:t>
      </w:r>
    </w:p>
    <w:p w14:paraId="75DB460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6. Jeżeli prawo państwa, o którym mowa w ust. 4 lub 5, nie przewiduje wydawania informacji do celów działalności zawodowej lub </w:t>
      </w:r>
      <w:proofErr w:type="spellStart"/>
      <w:r w:rsidRPr="00567A20">
        <w:rPr>
          <w:rFonts w:asciiTheme="majorHAnsi" w:hAnsiTheme="majorHAnsi" w:cstheme="majorHAnsi"/>
        </w:rPr>
        <w:t>wolontariackiej</w:t>
      </w:r>
      <w:proofErr w:type="spellEnd"/>
      <w:r w:rsidRPr="00567A20">
        <w:rPr>
          <w:rFonts w:asciiTheme="majorHAnsi" w:hAnsiTheme="majorHAnsi" w:cstheme="majorHAnsi"/>
        </w:rPr>
        <w:t xml:space="preserve"> związanej z kontaktami z dziećmi, przedkłada się informację z rejestru karnego tego państwa.</w:t>
      </w:r>
    </w:p>
    <w:p w14:paraId="781A21A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7. W przypadku gdy prawo państwa, z którego ma być przedłożona informacja, o której mowa w ust. 4–6, </w:t>
      </w:r>
      <w:proofErr w:type="spellStart"/>
      <w:r w:rsidRPr="00567A20">
        <w:rPr>
          <w:rFonts w:asciiTheme="majorHAnsi" w:hAnsiTheme="majorHAnsi" w:cstheme="majorHAnsi"/>
        </w:rPr>
        <w:t>nieprzewiduje</w:t>
      </w:r>
      <w:proofErr w:type="spellEnd"/>
      <w:r w:rsidRPr="00567A20">
        <w:rPr>
          <w:rFonts w:asciiTheme="majorHAnsi" w:hAnsiTheme="majorHAnsi" w:cstheme="majorHAnsi"/>
        </w:rPr>
        <w:t xml:space="preserv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D89FCF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8. Oświadczenia, o których mowa w ust. 5 i 7, składane są pod rygorem odpowiedzialności karnej za złożenie fałszywego oświadczenia. Składający oświadczenie jest obowiązany do zawarcia w nim klauzuli następującej treści:</w:t>
      </w:r>
    </w:p>
    <w:p w14:paraId="51BADFA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„Jestem świadomy odpowiedzialności karnej za złożenie fałszywego oświadczenia”. Klauzula ta zastępuje pouczenie organu o odpowiedzialności karnej za złożenie fałszywego oświadczenia.</w:t>
      </w:r>
    </w:p>
    <w:p w14:paraId="09230BE6"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Dziennik Ustaw – 7 – Poz. 1606</w:t>
      </w:r>
    </w:p>
    <w:p w14:paraId="208C1E32"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9. Informacje, o których mowa w ust. 2, pracodawca lub inny organizator utrwala 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Informacje oraz oświadczenia, o których mowa w ust. 3–7, pracodawca lub inny organizator załącza do akt osobowych pracownika albo dokumentacji dotyczącej osoby dopuszczonej do takiej działalności.</w:t>
      </w:r>
    </w:p>
    <w:p w14:paraId="3A6F1B0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10. Wykonanie obowiązków, o których mowa w ust. 1–8,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w:t>
      </w:r>
    </w:p>
    <w:p w14:paraId="536C1A6E"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11. Przez członka rodziny, o którym mowa w ust. 10, należy rozumieć osobę spokrewnioną albo osobę niespokrewnioną, pozostającą w faktycznym związku oraz wspólnie zamieszkującą i gospodarującą.”;</w:t>
      </w:r>
    </w:p>
    <w:p w14:paraId="753ECDB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6) po rozdziale 4 dodaje się rozdziały 4a–4e w brzmieniu:</w:t>
      </w:r>
    </w:p>
    <w:p w14:paraId="0566EAE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„Rozdział 4a</w:t>
      </w:r>
    </w:p>
    <w:p w14:paraId="584F734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Ocena prawdopodobieństwa ponownego popełnienia przestępstwa przeciwko wolności seksualnej i obyczajności na szkodę małoletniego Art. 22a. 1. W sprawach o przestępstwa z art. 197–200b i art. 202 Kodeksu karnego popełnione na szkodę małoletniego sąd, a w postępowaniu przygotowawczym </w:t>
      </w:r>
      <w:r w:rsidRPr="00567A20">
        <w:rPr>
          <w:rFonts w:asciiTheme="majorHAnsi" w:hAnsiTheme="majorHAnsi" w:cstheme="majorHAnsi"/>
        </w:rPr>
        <w:lastRenderedPageBreak/>
        <w:t xml:space="preserve">prokurator, zasięga opinii dwóch biegłych psychiatrów i biegłego seksuologa lub biegłego </w:t>
      </w:r>
      <w:proofErr w:type="spellStart"/>
      <w:r w:rsidRPr="00567A20">
        <w:rPr>
          <w:rFonts w:asciiTheme="majorHAnsi" w:hAnsiTheme="majorHAnsi" w:cstheme="majorHAnsi"/>
        </w:rPr>
        <w:t>psychoseksuologa</w:t>
      </w:r>
      <w:proofErr w:type="spellEnd"/>
      <w:r w:rsidRPr="00567A20">
        <w:rPr>
          <w:rFonts w:asciiTheme="majorHAnsi" w:hAnsiTheme="majorHAnsi" w:cstheme="majorHAnsi"/>
        </w:rPr>
        <w:t xml:space="preserve"> w celu ustalenia stopnia prawdopodobieństwa ponownego popełnienia przez sprawcę przestępstwa przeciwko wolności seksualnej i obyczajności popełnionego na szkodę małoletniego, wskazania, jakie działania muszą być podjęte w celu zmniejszenia prawdopodobieństwa ponownego popełnienia tego rodzaju przestępstwa, a także ustalenia, czy sprawca wymaga terapii lub innych indywidualnych oddziaływań, a jeśli tak, określenia ich charakteru.</w:t>
      </w:r>
    </w:p>
    <w:p w14:paraId="7B05EA7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Ustalenia stopnia prawdopodobieństwa ponownego popełnienia przestępstwa, o którym mowa w ust. 1, dokonuje się także w sprawie o przestępstwo z art. 148 Kodeksu karnego popełnione na szkodę małoletniego, jeżeli pozostaje ono w zbiegu z przestępstwem przeciwko wolności seksualnej i obyczajności popełnionym na szkodę małoletniego.</w:t>
      </w:r>
    </w:p>
    <w:p w14:paraId="2D01C81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Rozdział 4b</w:t>
      </w:r>
    </w:p>
    <w:p w14:paraId="38666FA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Standardy ochrony małoletnich</w:t>
      </w:r>
    </w:p>
    <w:p w14:paraId="4CD71EB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22b. Obowiązek wprowadzenia standardów ochrony małoletnich, zwanych dalej „standardami”, ma każdy:</w:t>
      </w:r>
    </w:p>
    <w:p w14:paraId="73C1DDF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organ zarządzający jednostką systemu oświaty, o której mowa w art. 2 pkt 1–8 ustawy z dnia 14 grudnia 2016 r. Prawo oświatowe (Dz. U. z 2023 r. poz. 900), oraz inną placówką oświatową, opiekuńczą, wychowawczą, resocjalizacyjną, religijną, artystyczną, medyczną, rekreacyjną, sportową lub związaną z rozwijaniem zainteresowań, do której uczęszczają albo w której przebywają lub mogą przebywać małoletni;</w:t>
      </w:r>
    </w:p>
    <w:p w14:paraId="6F6C5EB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organizator działalności oświatowej, opiekuńczej, wychowawczej, resocjalizacyjnej, religijnej, artystycznej, medycznej, rekreacyjnej, sportowej lub związanej z rozwijaniem zainteresowań przez małoletnich.</w:t>
      </w:r>
    </w:p>
    <w:p w14:paraId="2B7B39A0"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22c. 1. W standardach, w sposób dostosowany do charakteru i rodzaju placówki lub działalności, określa się w szczególności:</w:t>
      </w:r>
    </w:p>
    <w:p w14:paraId="315E752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zasady zapewniające bezpieczne relacje między małoletnim a personelem placówki lub organizatora, a w szczególności zachowania niedozwolone wobec małoletnich;</w:t>
      </w:r>
    </w:p>
    <w:p w14:paraId="0FC25F8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zasady i procedurę podejmowania interwencji w sytuacji podejrzenia krzywdzenia lub posiadania informacji o krzywdzeniu małoletniego;</w:t>
      </w:r>
    </w:p>
    <w:p w14:paraId="2ED83EA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procedury i osoby odpowiedzialne za składanie zawiadomień o podejrzeniu popełnienia przestępstwa na szkodę</w:t>
      </w:r>
    </w:p>
    <w:p w14:paraId="38E92AE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małoletniego, zawiadamianie sądu opiekuńczego oraz w przypadku instytucji, które posiadają takie uprawnienia, osoby odpowiedzialne za wszczynanie procedury „Niebieskie Karty”;</w:t>
      </w:r>
    </w:p>
    <w:p w14:paraId="641F67E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zasady przeglądu i aktualizacji standardów;</w:t>
      </w:r>
    </w:p>
    <w:p w14:paraId="23E32660"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zakres kompetencji osoby odpowiedzialnej za przygotowanie personelu placówki lub organizatora do stosowania standardów, zasady przygotowania tego personelu do ich stosowania oraz sposób dokumentowania tej czynności;</w:t>
      </w:r>
    </w:p>
    <w:p w14:paraId="5C43EF9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Dziennik Ustaw – 8 – Poz. 1606</w:t>
      </w:r>
    </w:p>
    <w:p w14:paraId="354B4EF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6) zasady i sposób udostępniania rodzicom albo opiekunom prawnym lub faktycznym oraz małoletnim standardów do zaznajomienia się z nimi i ich stosowania;</w:t>
      </w:r>
    </w:p>
    <w:p w14:paraId="2521552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7) osoby odpowiedzialne za przyjmowanie zgłoszeń o zdarzeniach zagrażających małoletniemu i udzielenie mu wsparcia;</w:t>
      </w:r>
    </w:p>
    <w:p w14:paraId="0ACBFFC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lastRenderedPageBreak/>
        <w:t>8) sposób dokumentowania i zasady przechowywania ujawnionych lub zgłoszonych incydentów lub zdarzeń zagrażających dobru małoletniego.</w:t>
      </w:r>
    </w:p>
    <w:p w14:paraId="4F202386"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W standardach wprowadzanych w placówce lub miejscu prowadzonej działalności, o których mowa w art. 22b, należy określić także:</w:t>
      </w:r>
    </w:p>
    <w:p w14:paraId="1EFFA84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wymogi dotyczące bezpiecznych relacji między małoletnimi, a w szczególności zachowania niedozwolone;</w:t>
      </w:r>
    </w:p>
    <w:p w14:paraId="50E80C3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zasady korzystania z urządzeń elektronicznych z dostępem do sieci Internet;</w:t>
      </w:r>
    </w:p>
    <w:p w14:paraId="71290140"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procedury ochrony dzieci przed treściami szkodliwymi i zagrożeniami w sieci Internet oraz utrwalonymi w innej formie;</w:t>
      </w:r>
    </w:p>
    <w:p w14:paraId="4D21F6B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zasady ustalania planu wsparcia małoletniego po ujawnieniu krzywdzenia.</w:t>
      </w:r>
    </w:p>
    <w:p w14:paraId="2B021402"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Obowiązek wprowadzenia standardów mają także podmioty świadczące usługi hotelarskie oraz turystyczne, a także prowadzące inne miejsca zakwaterowania zbiorowego, w zakresie niezbędnym do zapewnienia ochrony małoletnich. Standardy, w sposób dostosowany do charakteru i rodzaju prowadzonych usług, określają w szczególności:</w:t>
      </w:r>
    </w:p>
    <w:p w14:paraId="09C6688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zasady zapewniające bezpieczne relacje między personelem podmiotu a małoletnim, a w szczególności zachowania niedozwolone wobec małoletnich;</w:t>
      </w:r>
    </w:p>
    <w:p w14:paraId="1BA571D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zasady i procedury identyfikacji małoletniego przebywającego w obiekcie hotelarskim i jego relacji w stosunku do osoby dorosłej, z którą przebywa w tym obiekcie;</w:t>
      </w:r>
    </w:p>
    <w:p w14:paraId="350D1AA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zasady i procedury reagowania w przypadku uzasadnionego przypuszczenia, że dobro małoletniego znajdującego się na terenie obiektu hotelarskiego lub korzystającego z usług turystycznych jest zagrożone;</w:t>
      </w:r>
    </w:p>
    <w:p w14:paraId="52C522F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procedury i osoby odpowiedzialne za składanie zawiadomień o podejrzeniu popełnienia przestępstwa na szkodę małoletniego oraz zawiadamianie sądu opiekuńczego;</w:t>
      </w:r>
    </w:p>
    <w:p w14:paraId="6FDAEF1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zakres kompetencji osoby odpowiedzialnej za przygotowanie personelu podmiotu do stosowania standardów, zasady przygotowania tego personelu do ich stosowania oraz sposób dokumentowania tej czynności.</w:t>
      </w:r>
    </w:p>
    <w:p w14:paraId="3D140AC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W standardach uwzględnia się sytuację dzieci niepełnosprawnych oraz dzieci ze specjalnymi potrzebami edukacyjnymi.</w:t>
      </w:r>
    </w:p>
    <w:p w14:paraId="44EDFC4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Standardy sporządza się, mając na względzie konieczność ich zrozumienia przez osoby małoletnie.</w:t>
      </w:r>
    </w:p>
    <w:p w14:paraId="78F54D3E"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6. Podmioty, o których mowa w art. 22b oraz w ust. 3, mają obowiązek co najmniej raz na dwa lata dokonywać oceny standardów w celu zapewnienia ich dostosowania do aktualnych potrzeb oraz zgodności z obowiązującymi przepisami. Wnioski z przeprowadzonej oceny należy pisemnie udokumentować.</w:t>
      </w:r>
    </w:p>
    <w:p w14:paraId="75A14EF6"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7. Podmioty, o których mowa w art. 22b oraz w ust. 3, udostępniają standardy na swojej stronie internetowej oraz wywieszają w widocznym miejscu w swoim lokalu, w wersji zupełnej oraz skróconej, przeznaczonej dla małoletnich.</w:t>
      </w:r>
    </w:p>
    <w:p w14:paraId="485F34E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Wersja skrócona zawiera informacje istotne dla małoletnich.</w:t>
      </w:r>
    </w:p>
    <w:p w14:paraId="077DF776" w14:textId="77777777" w:rsidR="00567A20" w:rsidRPr="00567A20" w:rsidRDefault="00567A20" w:rsidP="00567A20">
      <w:pPr>
        <w:spacing w:line="240" w:lineRule="auto"/>
        <w:rPr>
          <w:rFonts w:asciiTheme="majorHAnsi" w:hAnsiTheme="majorHAnsi" w:cstheme="majorHAnsi"/>
        </w:rPr>
      </w:pPr>
    </w:p>
    <w:p w14:paraId="068B266A"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Rozdział 4e</w:t>
      </w:r>
    </w:p>
    <w:p w14:paraId="234D5AFF"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Kontrola obowiązków</w:t>
      </w:r>
    </w:p>
    <w:p w14:paraId="69A89BB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lastRenderedPageBreak/>
        <w:t>Art. 22x. 1. Wójt, burmistrz, prezydent miasta, starosta oraz marszałek województwa sprawują kontrolę wykonywania obowiązków, o których mowa w art. 21 i art. 22b, w zakresie objętym właściwością rzeczową i miejscową tych organów.</w:t>
      </w:r>
    </w:p>
    <w:p w14:paraId="046B76D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Organy, o których mowa w ust. 1, mogą upoważnić do wykonywania funkcji kontrolnych pracowników podległych im urzędów marszałkowskich, powiatowych, miejskich lub gminnych lub funkcjonariuszy straży gminnych.</w:t>
      </w:r>
    </w:p>
    <w:p w14:paraId="29BB773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Podmiotem uprawnionym do kontroli wykonywania obowiązków, o których mowa w art. 21 i art. 22b, w zakresie swojej właściwości rzeczowej i miejscowej jest organ prowadzący jednostkę systemu oświaty, o której mowa w art. 2 pkt 1–8 ustawy z dnia 14 grudnia 2016 r. – Prawo oświatowe, lub organ sprawujący nadzór pedagogiczny nad taką jednostką, organ zarządzający lub nadzorujący inną placówkę lub prowadzenie działalności związanej z wychowaniem, edukacją, wypoczynkiem, leczeniem, świadczeniem porad psychologicznych, rozwojem duchowym, uprawianiem sportu lub realizacją innych zainteresowań przez małoletnich, lub z opieką nad nimi.</w:t>
      </w:r>
    </w:p>
    <w:p w14:paraId="17D85F2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4. Kontrolujący w ramach kontroli jest uprawniony do:</w:t>
      </w:r>
    </w:p>
    <w:p w14:paraId="62C7388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1) wstępu wraz z niezbędnym sprzętem na teren kontrolowanego podmiotu w godzinach od 8 do 18;</w:t>
      </w:r>
    </w:p>
    <w:p w14:paraId="0FD07953"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żądania pisemnych lub ustnych informacji niezbędnych dla przeprowadzenia kontroli;</w:t>
      </w:r>
    </w:p>
    <w:p w14:paraId="4BCB164E"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żądania okazania dokumentów i udostępnienia wszelkich danych mających związek z zakresem kontroli.</w:t>
      </w:r>
    </w:p>
    <w:p w14:paraId="49238E2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5. Z czynności kontrolnych kontrolujący sporządza protokół, którego jeden egzemplarz doręcza kierownikowi kontrolowanego podmiotu lub kontrolowanej osobie fizycznej wraz z zaleceniami pokontrolnymi.</w:t>
      </w:r>
    </w:p>
    <w:p w14:paraId="7411EDA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6. Jeżeli w wyniku kontroli zostanie stwierdzone naruszenie przez kontrolowany podmiot przepisów lub występuje uzasadnione podejrzenie, że takie naruszenie mogło nastąpić, niezależnie od przekazania zaleceń podmiotowi kontrolowanemu, wójt, burmistrz, prezydent miasta, starosta, marszałek województwa lub podmioty wymienione w ust. 3 niezwłocznie powiadamiają Policję lub prokuratora.</w:t>
      </w:r>
    </w:p>
    <w:p w14:paraId="6ED7C87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Dziennik Ustaw – 18 – Poz. 1606</w:t>
      </w:r>
    </w:p>
    <w:p w14:paraId="67321CC6"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22y. 1. Państwowa Inspekcja Pracy w zakresie swojej właściwości jest uprawniona do kontroli wykonywania przez pracodawcę obowiązku, o którym mowa w art. 21 ust. 2.</w:t>
      </w:r>
    </w:p>
    <w:p w14:paraId="0886C3E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W razie stwierdzenia naruszenia wykonywania przez pracodawcę obowiązku, o którym mowa w art. 21 ust. 2, Państwowa Inspekcja Pracy niezwłocznie powiadamia o tym Policję lub prokuratora.</w:t>
      </w:r>
    </w:p>
    <w:p w14:paraId="351644F1"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22z. 1. Prezes Narodowego Funduszu Zdrowia w zakresie swojej właściwości jest uprawniony do kontroli wykonywania przez pracodawcę lub organizatora działalności obowiązku, o którym mowa w art. 21 ust. 2, oraz obowiązku wprowadzenia standardów.</w:t>
      </w:r>
    </w:p>
    <w:p w14:paraId="325FAB1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W razie stwierdzenia naruszenia wykonywania przez pracodawcę lub organizatora działalności obowiązku, o którym mowa w art. 21 ust. 2, lub obowiązku wprowadzenia standardów pracownicy Narodowego Funduszu Zdrowia przeprowadzający kontrolę niezwłocznie powiadamiają o tym Policję lub prokuratora.”;</w:t>
      </w:r>
    </w:p>
    <w:p w14:paraId="1B336D8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7) w art. 23:</w:t>
      </w:r>
    </w:p>
    <w:p w14:paraId="1EFD4AD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 ust. 2 otrzymuje brzmienie:</w:t>
      </w:r>
    </w:p>
    <w:p w14:paraId="762C73B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 xml:space="preserve">„2. Kto dopuszcza do pracy lub do innej działalności związanej z wychowaniem, edukacją, wypoczynkiem, leczeniem, świadczeniem porad psychologicznych, rozwojem duchowym, uprawianiem </w:t>
      </w:r>
      <w:r w:rsidRPr="00567A20">
        <w:rPr>
          <w:rFonts w:asciiTheme="majorHAnsi" w:hAnsiTheme="majorHAnsi" w:cstheme="majorHAnsi"/>
        </w:rPr>
        <w:lastRenderedPageBreak/>
        <w:t>sportu lub realizacją innych zainteresowań przez małoletnich, lub z opieką nad nimi, osobę bez uzyskania informacji, o których mowa w art. 21</w:t>
      </w:r>
    </w:p>
    <w:p w14:paraId="226119DD"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ust. 2,</w:t>
      </w:r>
    </w:p>
    <w:p w14:paraId="022A0509"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podlega karze aresztu, ograniczenia wolności albo grzywny nie niższej niż 1000 zł.”,</w:t>
      </w:r>
    </w:p>
    <w:p w14:paraId="210FE44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b) dodaje się ust. 3 w brzmieniu:</w:t>
      </w:r>
    </w:p>
    <w:p w14:paraId="79B4CECE"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14:paraId="286EBE55"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8) po art. 23 dodaje się art. 23a–23c w brzmieniu:</w:t>
      </w:r>
    </w:p>
    <w:p w14:paraId="3B888258"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23a. 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r. o przeciwdziałaniu narkomanii, podlega karze aresztu, ograniczenia wolności albo grzywny nie niższej niż 1000 zł.</w:t>
      </w:r>
    </w:p>
    <w:p w14:paraId="7EFD3E09"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23b. 1. Kto, będąc obowiązanym do wprowadzenia standardów ochrony małoletnich nie wykonuje tego obowiązku, podlega karze grzywny do 250 zł albo karze nagany.</w:t>
      </w:r>
    </w:p>
    <w:p w14:paraId="5441D7D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W razie ponownego stwierdzenia niewykonania obowiązku wprowadzenia standardów ochrony małoletnich, sprawca, podlega karze grzywny nie niższej niż 1000 zł.</w:t>
      </w:r>
    </w:p>
    <w:p w14:paraId="7D01C3E4"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23c. 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podlega karze pozbawienia wolności od 3 miesięcy do lat 5.”;</w:t>
      </w:r>
    </w:p>
    <w:p w14:paraId="47C506E7"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9) po art. 24 dodaje się art. 24a w brzmieniu:</w:t>
      </w:r>
    </w:p>
    <w:p w14:paraId="6CA6962B"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„Art. 24a. 1. W razie skazania za przestępstwo, o którym mowa w art. 23c, sąd orzeka środek karny w postaci świadczenia pieniężnego na rzecz Funduszu Pomocy Pokrzywdzonym oraz Pomocy Postpenitencjarnej. Wysokość tego świadczenia nie może przekroczyć 30 000 zł.</w:t>
      </w:r>
    </w:p>
    <w:p w14:paraId="4DDBF00C" w14:textId="77777777" w:rsidR="00567A20" w:rsidRPr="00567A20" w:rsidRDefault="00567A20" w:rsidP="00567A20">
      <w:pPr>
        <w:spacing w:line="240" w:lineRule="auto"/>
        <w:rPr>
          <w:rFonts w:asciiTheme="majorHAnsi" w:hAnsiTheme="majorHAnsi" w:cstheme="majorHAnsi"/>
        </w:rPr>
      </w:pPr>
      <w:r w:rsidRPr="00567A20">
        <w:rPr>
          <w:rFonts w:asciiTheme="majorHAnsi" w:hAnsiTheme="majorHAnsi" w:cstheme="majorHAnsi"/>
        </w:rPr>
        <w:t>2. W razie ukarania za wykroczenie, o którym mowa w art. 23 ust. 2, art. 23a i art. 23b ust. 2, sąd orzeka środek karny w postaci świadczenia pieniężnego na rzecz Funduszu Pomocy Pokrzywdzonym oraz Pomocy Postpenitencjarnej. Wysokość tego świadczenia nie może przekroczyć 10 000 zł.”</w:t>
      </w:r>
    </w:p>
    <w:p w14:paraId="0994E317" w14:textId="77777777" w:rsidR="00567A20" w:rsidRPr="00567A20" w:rsidRDefault="00567A20" w:rsidP="00567A20">
      <w:pPr>
        <w:spacing w:line="240" w:lineRule="auto"/>
        <w:rPr>
          <w:rFonts w:asciiTheme="majorHAnsi" w:hAnsiTheme="majorHAnsi" w:cstheme="majorHAnsi"/>
        </w:rPr>
      </w:pPr>
    </w:p>
    <w:p w14:paraId="6A46825A" w14:textId="77777777" w:rsidR="00567A20" w:rsidRDefault="00567A20"/>
    <w:sectPr w:rsidR="00567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20"/>
    <w:rsid w:val="001866EE"/>
    <w:rsid w:val="002451C8"/>
    <w:rsid w:val="00567A20"/>
    <w:rsid w:val="00A51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6C39"/>
  <w15:chartTrackingRefBased/>
  <w15:docId w15:val="{2A939847-4061-4566-B1C4-B08EBE79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3012</Words>
  <Characters>18075</Characters>
  <Application>Microsoft Office Word</Application>
  <DocSecurity>0</DocSecurity>
  <Lines>150</Lines>
  <Paragraphs>42</Paragraphs>
  <ScaleCrop>false</ScaleCrop>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Szydłowska</dc:creator>
  <cp:keywords/>
  <dc:description/>
  <cp:lastModifiedBy>Jolanta Szydłowska</cp:lastModifiedBy>
  <cp:revision>1</cp:revision>
  <dcterms:created xsi:type="dcterms:W3CDTF">2024-07-27T11:06:00Z</dcterms:created>
  <dcterms:modified xsi:type="dcterms:W3CDTF">2024-07-27T11:06:00Z</dcterms:modified>
</cp:coreProperties>
</file>